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6D" w:rsidRDefault="008120E2" w:rsidP="0063726D">
      <w:pPr>
        <w:pStyle w:val="Default"/>
        <w:jc w:val="center"/>
      </w:pPr>
      <w:r>
        <w:rPr>
          <w:noProof/>
        </w:rPr>
        <w:drawing>
          <wp:anchor distT="0" distB="0" distL="114300" distR="114300" simplePos="0" relativeHeight="251687936" behindDoc="0" locked="0" layoutInCell="1" allowOverlap="1">
            <wp:simplePos x="0" y="0"/>
            <wp:positionH relativeFrom="column">
              <wp:posOffset>273050</wp:posOffset>
            </wp:positionH>
            <wp:positionV relativeFrom="paragraph">
              <wp:posOffset>5080</wp:posOffset>
            </wp:positionV>
            <wp:extent cx="1149985" cy="12509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9985" cy="1250950"/>
                    </a:xfrm>
                    <a:prstGeom prst="rect">
                      <a:avLst/>
                    </a:prstGeom>
                  </pic:spPr>
                </pic:pic>
              </a:graphicData>
            </a:graphic>
            <wp14:sizeRelH relativeFrom="page">
              <wp14:pctWidth>0</wp14:pctWidth>
            </wp14:sizeRelH>
            <wp14:sizeRelV relativeFrom="page">
              <wp14:pctHeight>0</wp14:pctHeight>
            </wp14:sizeRelV>
          </wp:anchor>
        </w:drawing>
      </w:r>
    </w:p>
    <w:p w:rsidR="0063726D" w:rsidRDefault="00D5787F" w:rsidP="0063726D">
      <w:pPr>
        <w:pStyle w:val="Default"/>
        <w:jc w:val="center"/>
      </w:pPr>
      <w:r>
        <w:rPr>
          <w:noProof/>
        </w:rPr>
        <w:drawing>
          <wp:anchor distT="0" distB="0" distL="114300" distR="114300" simplePos="0" relativeHeight="251686912" behindDoc="0" locked="0" layoutInCell="1" allowOverlap="1">
            <wp:simplePos x="0" y="0"/>
            <wp:positionH relativeFrom="margin">
              <wp:align>center</wp:align>
            </wp:positionH>
            <wp:positionV relativeFrom="paragraph">
              <wp:posOffset>187347</wp:posOffset>
            </wp:positionV>
            <wp:extent cx="3478924" cy="574989"/>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 LOve ENgineering.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924" cy="574989"/>
                    </a:xfrm>
                    <a:prstGeom prst="rect">
                      <a:avLst/>
                    </a:prstGeom>
                  </pic:spPr>
                </pic:pic>
              </a:graphicData>
            </a:graphic>
            <wp14:sizeRelH relativeFrom="page">
              <wp14:pctWidth>0</wp14:pctWidth>
            </wp14:sizeRelH>
            <wp14:sizeRelV relativeFrom="page">
              <wp14:pctHeight>0</wp14:pctHeight>
            </wp14:sizeRelV>
          </wp:anchor>
        </w:drawing>
      </w:r>
      <w:r w:rsidR="00873E8E">
        <w:rPr>
          <w:i/>
          <w:noProof/>
        </w:rPr>
        <w:drawing>
          <wp:anchor distT="0" distB="0" distL="114300" distR="114300" simplePos="0" relativeHeight="251688960" behindDoc="0" locked="0" layoutInCell="1" allowOverlap="1">
            <wp:simplePos x="0" y="0"/>
            <wp:positionH relativeFrom="column">
              <wp:posOffset>5511975</wp:posOffset>
            </wp:positionH>
            <wp:positionV relativeFrom="paragraph">
              <wp:posOffset>187106</wp:posOffset>
            </wp:positionV>
            <wp:extent cx="1271270" cy="84264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gir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270" cy="842645"/>
                    </a:xfrm>
                    <a:prstGeom prst="rect">
                      <a:avLst/>
                    </a:prstGeom>
                  </pic:spPr>
                </pic:pic>
              </a:graphicData>
            </a:graphic>
            <wp14:sizeRelH relativeFrom="page">
              <wp14:pctWidth>0</wp14:pctWidth>
            </wp14:sizeRelH>
            <wp14:sizeRelV relativeFrom="page">
              <wp14:pctHeight>0</wp14:pctHeight>
            </wp14:sizeRelV>
          </wp:anchor>
        </w:drawing>
      </w:r>
    </w:p>
    <w:p w:rsidR="0063726D" w:rsidRDefault="0063726D" w:rsidP="0063726D">
      <w:pPr>
        <w:pStyle w:val="Default"/>
        <w:jc w:val="center"/>
      </w:pPr>
    </w:p>
    <w:p w:rsidR="0063726D" w:rsidRDefault="0063726D" w:rsidP="00873E8E">
      <w:pPr>
        <w:pStyle w:val="Default"/>
        <w:jc w:val="center"/>
      </w:pPr>
    </w:p>
    <w:p w:rsidR="0063726D" w:rsidRPr="0063726D" w:rsidRDefault="0063726D" w:rsidP="00873E8E">
      <w:pPr>
        <w:pStyle w:val="Default"/>
        <w:jc w:val="center"/>
        <w:rPr>
          <w:i/>
        </w:rPr>
      </w:pPr>
      <w:r w:rsidRPr="0063726D">
        <w:rPr>
          <w:i/>
        </w:rPr>
        <w:t>A Slick Solution: Cleaning an Oil Spill</w:t>
      </w:r>
    </w:p>
    <w:p w:rsidR="00873E8E" w:rsidRPr="00C43710" w:rsidRDefault="00873E8E" w:rsidP="00873E8E">
      <w:pPr>
        <w:pStyle w:val="Default"/>
        <w:jc w:val="center"/>
        <w:rPr>
          <w:i/>
          <w:color w:val="00B050"/>
        </w:rPr>
      </w:pPr>
      <w:r w:rsidRPr="00C43710">
        <w:rPr>
          <w:i/>
          <w:color w:val="00B050"/>
        </w:rPr>
        <w:t>E</w:t>
      </w:r>
      <w:r w:rsidR="0063726D" w:rsidRPr="00C43710">
        <w:rPr>
          <w:i/>
          <w:color w:val="00B050"/>
        </w:rPr>
        <w:t>nvironmental Engineering</w:t>
      </w:r>
    </w:p>
    <w:p w:rsidR="00B97202" w:rsidRPr="00873E8E" w:rsidRDefault="00B97202" w:rsidP="00873E8E">
      <w:pPr>
        <w:pStyle w:val="Default"/>
        <w:jc w:val="center"/>
        <w:rPr>
          <w:i/>
        </w:rPr>
      </w:pPr>
      <w:r w:rsidRPr="00C142A1">
        <w:rPr>
          <w:rFonts w:ascii="Engravers MT" w:hAnsi="Engravers MT"/>
          <w:sz w:val="32"/>
          <w:szCs w:val="32"/>
        </w:rPr>
        <w:t>STAFF PROFESSIONAL DEVELOPMENT</w:t>
      </w:r>
    </w:p>
    <w:p w:rsidR="00B97202" w:rsidRPr="006371D3" w:rsidRDefault="00B97202" w:rsidP="0063726D">
      <w:pPr>
        <w:pStyle w:val="Default"/>
        <w:jc w:val="center"/>
      </w:pPr>
      <w:r>
        <w:t xml:space="preserve"> </w:t>
      </w:r>
    </w:p>
    <w:p w:rsidR="00340DB9" w:rsidRPr="00C142A1" w:rsidRDefault="006371D3" w:rsidP="00B97202">
      <w:pPr>
        <w:pStyle w:val="Default"/>
        <w:jc w:val="center"/>
        <w:rPr>
          <w:rFonts w:asciiTheme="minorHAnsi" w:hAnsiTheme="minorHAnsi" w:cstheme="minorHAnsi"/>
          <w:sz w:val="28"/>
          <w:szCs w:val="28"/>
        </w:rPr>
      </w:pPr>
      <w:r w:rsidRPr="00C142A1">
        <w:rPr>
          <w:rFonts w:asciiTheme="minorHAnsi" w:hAnsiTheme="minorHAnsi" w:cstheme="minorHAnsi"/>
          <w:b/>
          <w:bCs/>
          <w:sz w:val="28"/>
          <w:szCs w:val="28"/>
        </w:rPr>
        <w:t xml:space="preserve">1 Day </w:t>
      </w:r>
      <w:r w:rsidR="00340DB9" w:rsidRPr="00C142A1">
        <w:rPr>
          <w:rFonts w:asciiTheme="minorHAnsi" w:hAnsiTheme="minorHAnsi" w:cstheme="minorHAnsi"/>
          <w:b/>
          <w:bCs/>
          <w:sz w:val="28"/>
          <w:szCs w:val="28"/>
        </w:rPr>
        <w:t>Workshop Goals</w:t>
      </w:r>
    </w:p>
    <w:p w:rsidR="00340DB9" w:rsidRPr="006371D3" w:rsidRDefault="002C4526" w:rsidP="002C4526">
      <w:pPr>
        <w:pStyle w:val="Default"/>
        <w:rPr>
          <w:rFonts w:asciiTheme="minorHAnsi" w:hAnsiTheme="minorHAnsi" w:cstheme="minorHAnsi"/>
        </w:rPr>
      </w:pPr>
      <w:r w:rsidRPr="006371D3">
        <w:rPr>
          <w:rFonts w:asciiTheme="minorHAnsi" w:hAnsiTheme="minorHAnsi" w:cstheme="minorHAnsi"/>
        </w:rPr>
        <w:t>R</w:t>
      </w:r>
      <w:r w:rsidR="00340DB9" w:rsidRPr="006371D3">
        <w:rPr>
          <w:rFonts w:asciiTheme="minorHAnsi" w:hAnsiTheme="minorHAnsi" w:cstheme="minorHAnsi"/>
        </w:rPr>
        <w:t xml:space="preserve">egardless of the specific unit and available time, all </w:t>
      </w:r>
      <w:proofErr w:type="spellStart"/>
      <w:r w:rsidR="00340DB9" w:rsidRPr="006371D3">
        <w:rPr>
          <w:rFonts w:asciiTheme="minorHAnsi" w:hAnsiTheme="minorHAnsi" w:cstheme="minorHAnsi"/>
        </w:rPr>
        <w:t>EiE</w:t>
      </w:r>
      <w:proofErr w:type="spellEnd"/>
      <w:r w:rsidR="00340DB9" w:rsidRPr="006371D3">
        <w:rPr>
          <w:rFonts w:asciiTheme="minorHAnsi" w:hAnsiTheme="minorHAnsi" w:cstheme="minorHAnsi"/>
        </w:rPr>
        <w:t xml:space="preserve"> PD workshops are focused on the same core goals and all </w:t>
      </w:r>
      <w:proofErr w:type="spellStart"/>
      <w:r w:rsidR="00340DB9" w:rsidRPr="006371D3">
        <w:rPr>
          <w:rFonts w:asciiTheme="minorHAnsi" w:hAnsiTheme="minorHAnsi" w:cstheme="minorHAnsi"/>
        </w:rPr>
        <w:t>EiE</w:t>
      </w:r>
      <w:proofErr w:type="spellEnd"/>
      <w:r w:rsidR="00340DB9" w:rsidRPr="006371D3">
        <w:rPr>
          <w:rFonts w:asciiTheme="minorHAnsi" w:hAnsiTheme="minorHAnsi" w:cstheme="minorHAnsi"/>
        </w:rPr>
        <w:t xml:space="preserve"> PD activities are designed to support educators who will use the </w:t>
      </w:r>
      <w:proofErr w:type="spellStart"/>
      <w:r w:rsidR="00340DB9" w:rsidRPr="006371D3">
        <w:rPr>
          <w:rFonts w:asciiTheme="minorHAnsi" w:hAnsiTheme="minorHAnsi" w:cstheme="minorHAnsi"/>
        </w:rPr>
        <w:t>EiE</w:t>
      </w:r>
      <w:proofErr w:type="spellEnd"/>
      <w:r w:rsidR="00340DB9" w:rsidRPr="006371D3">
        <w:rPr>
          <w:rFonts w:asciiTheme="minorHAnsi" w:hAnsiTheme="minorHAnsi" w:cstheme="minorHAnsi"/>
        </w:rPr>
        <w:t xml:space="preserve"> curriculum materials with their students. To do this, every </w:t>
      </w:r>
      <w:proofErr w:type="spellStart"/>
      <w:r w:rsidR="00340DB9" w:rsidRPr="006371D3">
        <w:rPr>
          <w:rFonts w:asciiTheme="minorHAnsi" w:hAnsiTheme="minorHAnsi" w:cstheme="minorHAnsi"/>
        </w:rPr>
        <w:t>EiE</w:t>
      </w:r>
      <w:proofErr w:type="spellEnd"/>
      <w:r w:rsidR="00340DB9" w:rsidRPr="006371D3">
        <w:rPr>
          <w:rFonts w:asciiTheme="minorHAnsi" w:hAnsiTheme="minorHAnsi" w:cstheme="minorHAnsi"/>
        </w:rPr>
        <w:t xml:space="preserve"> PD workshop aims to develop teachers’: </w:t>
      </w:r>
    </w:p>
    <w:p w:rsidR="002C4526" w:rsidRPr="006371D3" w:rsidRDefault="002C4526" w:rsidP="002C4526">
      <w:pPr>
        <w:pStyle w:val="Default"/>
        <w:rPr>
          <w:rFonts w:asciiTheme="minorHAnsi" w:hAnsiTheme="minorHAnsi" w:cstheme="minorHAnsi"/>
        </w:rPr>
      </w:pP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 </w:t>
      </w:r>
      <w:proofErr w:type="gramStart"/>
      <w:r w:rsidRPr="006371D3">
        <w:rPr>
          <w:rFonts w:asciiTheme="minorHAnsi" w:hAnsiTheme="minorHAnsi" w:cstheme="minorHAnsi"/>
        </w:rPr>
        <w:t>confidence</w:t>
      </w:r>
      <w:proofErr w:type="gramEnd"/>
      <w:r w:rsidRPr="006371D3">
        <w:rPr>
          <w:rFonts w:asciiTheme="minorHAnsi" w:hAnsiTheme="minorHAnsi" w:cstheme="minorHAnsi"/>
        </w:rPr>
        <w:t xml:space="preserve"> in teaching engineering. </w:t>
      </w: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 </w:t>
      </w:r>
      <w:proofErr w:type="gramStart"/>
      <w:r w:rsidRPr="006371D3">
        <w:rPr>
          <w:rFonts w:asciiTheme="minorHAnsi" w:hAnsiTheme="minorHAnsi" w:cstheme="minorHAnsi"/>
        </w:rPr>
        <w:t>knowledge</w:t>
      </w:r>
      <w:proofErr w:type="gramEnd"/>
      <w:r w:rsidRPr="006371D3">
        <w:rPr>
          <w:rFonts w:asciiTheme="minorHAnsi" w:hAnsiTheme="minorHAnsi" w:cstheme="minorHAnsi"/>
        </w:rPr>
        <w:t xml:space="preserve"> of the structure and types of learning activities within one or more </w:t>
      </w:r>
      <w:proofErr w:type="spellStart"/>
      <w:r w:rsidRPr="006371D3">
        <w:rPr>
          <w:rFonts w:asciiTheme="minorHAnsi" w:hAnsiTheme="minorHAnsi" w:cstheme="minorHAnsi"/>
        </w:rPr>
        <w:t>EiE</w:t>
      </w:r>
      <w:proofErr w:type="spellEnd"/>
      <w:r w:rsidRPr="006371D3">
        <w:rPr>
          <w:rFonts w:asciiTheme="minorHAnsi" w:hAnsiTheme="minorHAnsi" w:cstheme="minorHAnsi"/>
        </w:rPr>
        <w:t xml:space="preserve"> units. </w:t>
      </w: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 </w:t>
      </w:r>
      <w:proofErr w:type="gramStart"/>
      <w:r w:rsidRPr="006371D3">
        <w:rPr>
          <w:rFonts w:asciiTheme="minorHAnsi" w:hAnsiTheme="minorHAnsi" w:cstheme="minorHAnsi"/>
        </w:rPr>
        <w:t>awareness</w:t>
      </w:r>
      <w:proofErr w:type="gramEnd"/>
      <w:r w:rsidRPr="006371D3">
        <w:rPr>
          <w:rFonts w:asciiTheme="minorHAnsi" w:hAnsiTheme="minorHAnsi" w:cstheme="minorHAnsi"/>
        </w:rPr>
        <w:t xml:space="preserve"> of engineering as a field and of the Engineering Design Process (EDP), including how to apply the EDP to solve problems using technology. </w:t>
      </w:r>
    </w:p>
    <w:p w:rsidR="00340DB9" w:rsidRPr="006371D3" w:rsidRDefault="00340DB9" w:rsidP="002C4526">
      <w:pPr>
        <w:pStyle w:val="Default"/>
        <w:numPr>
          <w:ilvl w:val="0"/>
          <w:numId w:val="2"/>
        </w:numPr>
        <w:rPr>
          <w:rFonts w:asciiTheme="minorHAnsi" w:hAnsiTheme="minorHAnsi" w:cstheme="minorHAnsi"/>
        </w:rPr>
      </w:pPr>
      <w:r w:rsidRPr="006371D3">
        <w:rPr>
          <w:rFonts w:asciiTheme="minorHAnsi" w:hAnsiTheme="minorHAnsi" w:cstheme="minorHAnsi"/>
        </w:rPr>
        <w:t xml:space="preserve"> </w:t>
      </w:r>
      <w:proofErr w:type="gramStart"/>
      <w:r w:rsidRPr="006371D3">
        <w:rPr>
          <w:rFonts w:asciiTheme="minorHAnsi" w:hAnsiTheme="minorHAnsi" w:cstheme="minorHAnsi"/>
        </w:rPr>
        <w:t>knowledge</w:t>
      </w:r>
      <w:proofErr w:type="gramEnd"/>
      <w:r w:rsidRPr="006371D3">
        <w:rPr>
          <w:rFonts w:asciiTheme="minorHAnsi" w:hAnsiTheme="minorHAnsi" w:cstheme="minorHAnsi"/>
        </w:rPr>
        <w:t xml:space="preserve"> of technology as any object, system, or process designed by humans to solve a problem or fulfill a desire. </w:t>
      </w:r>
    </w:p>
    <w:p w:rsidR="00340DB9" w:rsidRPr="006371D3" w:rsidRDefault="00340DB9" w:rsidP="00340DB9">
      <w:pPr>
        <w:pStyle w:val="Default"/>
        <w:rPr>
          <w:rFonts w:asciiTheme="minorHAnsi" w:hAnsiTheme="minorHAnsi" w:cstheme="minorHAnsi"/>
        </w:rPr>
      </w:pPr>
    </w:p>
    <w:p w:rsidR="00340DB9" w:rsidRDefault="00340DB9" w:rsidP="0063726D">
      <w:pPr>
        <w:pStyle w:val="Default"/>
        <w:rPr>
          <w:rFonts w:asciiTheme="minorHAnsi" w:hAnsiTheme="minorHAnsi" w:cstheme="minorHAnsi"/>
        </w:rPr>
      </w:pPr>
      <w:r w:rsidRPr="006371D3">
        <w:rPr>
          <w:rFonts w:asciiTheme="minorHAnsi" w:hAnsiTheme="minorHAnsi" w:cstheme="minorHAnsi"/>
        </w:rPr>
        <w:t xml:space="preserve">In addition to understanding the engineering content in a specific </w:t>
      </w:r>
      <w:proofErr w:type="spellStart"/>
      <w:r w:rsidRPr="006371D3">
        <w:rPr>
          <w:rFonts w:asciiTheme="minorHAnsi" w:hAnsiTheme="minorHAnsi" w:cstheme="minorHAnsi"/>
        </w:rPr>
        <w:t>EiE</w:t>
      </w:r>
      <w:proofErr w:type="spellEnd"/>
      <w:r w:rsidRPr="006371D3">
        <w:rPr>
          <w:rFonts w:asciiTheme="minorHAnsi" w:hAnsiTheme="minorHAnsi" w:cstheme="minorHAnsi"/>
        </w:rPr>
        <w:t xml:space="preserve"> unit, our workshops also have specific pedagogical goals: </w:t>
      </w:r>
    </w:p>
    <w:p w:rsidR="0063726D" w:rsidRPr="006371D3" w:rsidRDefault="0063726D" w:rsidP="0063726D">
      <w:pPr>
        <w:pStyle w:val="Default"/>
        <w:rPr>
          <w:rFonts w:asciiTheme="minorHAnsi" w:hAnsiTheme="minorHAnsi" w:cstheme="minorHAnsi"/>
        </w:rPr>
      </w:pP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To put participants in active roles so they can experience a learner-centered experience. There is ample opportunity provided for exploring their questions and solving problems. </w:t>
      </w: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To provide participants with opportunities to experience the power of science inquiry and reflect on implementing it in their classrooms. </w:t>
      </w:r>
    </w:p>
    <w:p w:rsidR="00340DB9" w:rsidRPr="006371D3" w:rsidRDefault="00340DB9" w:rsidP="002C4526">
      <w:pPr>
        <w:pStyle w:val="Default"/>
        <w:numPr>
          <w:ilvl w:val="0"/>
          <w:numId w:val="2"/>
        </w:numPr>
        <w:rPr>
          <w:rFonts w:asciiTheme="minorHAnsi" w:hAnsiTheme="minorHAnsi" w:cstheme="minorHAnsi"/>
        </w:rPr>
      </w:pPr>
      <w:r w:rsidRPr="006371D3">
        <w:rPr>
          <w:rFonts w:asciiTheme="minorHAnsi" w:hAnsiTheme="minorHAnsi" w:cstheme="minorHAnsi"/>
        </w:rPr>
        <w:t xml:space="preserve">To allow participants to create their own conceptual understandings of engineering and the </w:t>
      </w:r>
      <w:proofErr w:type="spellStart"/>
      <w:r w:rsidRPr="006371D3">
        <w:rPr>
          <w:rFonts w:asciiTheme="minorHAnsi" w:hAnsiTheme="minorHAnsi" w:cstheme="minorHAnsi"/>
        </w:rPr>
        <w:t>EiE</w:t>
      </w:r>
      <w:proofErr w:type="spellEnd"/>
      <w:r w:rsidRPr="006371D3">
        <w:rPr>
          <w:rFonts w:asciiTheme="minorHAnsi" w:hAnsiTheme="minorHAnsi" w:cstheme="minorHAnsi"/>
        </w:rPr>
        <w:t xml:space="preserve"> unit by tapping into their prior knowledge of technology, engineering, and science. </w:t>
      </w:r>
    </w:p>
    <w:p w:rsidR="00340DB9" w:rsidRPr="006371D3" w:rsidRDefault="00340DB9" w:rsidP="00340DB9">
      <w:pPr>
        <w:pStyle w:val="Default"/>
        <w:rPr>
          <w:rFonts w:asciiTheme="minorHAnsi" w:hAnsiTheme="minorHAnsi" w:cstheme="minorHAnsi"/>
        </w:rPr>
      </w:pPr>
    </w:p>
    <w:p w:rsidR="006371D3" w:rsidRDefault="00E969B0" w:rsidP="003C48CB">
      <w:pPr>
        <w:rPr>
          <w:rFonts w:cstheme="minorHAnsi"/>
          <w:sz w:val="18"/>
          <w:szCs w:val="18"/>
        </w:rPr>
      </w:pPr>
      <w:r>
        <w:rPr>
          <w:noProof/>
          <w:sz w:val="18"/>
          <w:szCs w:val="18"/>
        </w:rPr>
        <w:drawing>
          <wp:anchor distT="0" distB="0" distL="114300" distR="114300" simplePos="0" relativeHeight="251689984" behindDoc="0" locked="0" layoutInCell="1" allowOverlap="1">
            <wp:simplePos x="0" y="0"/>
            <wp:positionH relativeFrom="column">
              <wp:posOffset>4535214</wp:posOffset>
            </wp:positionH>
            <wp:positionV relativeFrom="paragraph">
              <wp:posOffset>1151496</wp:posOffset>
            </wp:positionV>
            <wp:extent cx="1497724" cy="1497724"/>
            <wp:effectExtent l="0" t="0" r="762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ic_qr_code_withou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0389" cy="1500389"/>
                    </a:xfrm>
                    <a:prstGeom prst="rect">
                      <a:avLst/>
                    </a:prstGeom>
                  </pic:spPr>
                </pic:pic>
              </a:graphicData>
            </a:graphic>
            <wp14:sizeRelH relativeFrom="page">
              <wp14:pctWidth>0</wp14:pctWidth>
            </wp14:sizeRelH>
            <wp14:sizeRelV relativeFrom="page">
              <wp14:pctHeight>0</wp14:pctHeight>
            </wp14:sizeRelV>
          </wp:anchor>
        </w:drawing>
      </w:r>
      <w:r w:rsidR="00340DB9" w:rsidRPr="0063726D">
        <w:rPr>
          <w:rFonts w:cstheme="minorHAnsi"/>
          <w:sz w:val="24"/>
          <w:szCs w:val="24"/>
        </w:rPr>
        <w:t xml:space="preserve">This focus on the learner stems both from learning theory and from the efficacy of the </w:t>
      </w:r>
      <w:proofErr w:type="spellStart"/>
      <w:r w:rsidR="00340DB9" w:rsidRPr="0063726D">
        <w:rPr>
          <w:rFonts w:cstheme="minorHAnsi"/>
          <w:sz w:val="24"/>
          <w:szCs w:val="24"/>
        </w:rPr>
        <w:t>EiE</w:t>
      </w:r>
      <w:proofErr w:type="spellEnd"/>
      <w:r w:rsidR="00340DB9" w:rsidRPr="0063726D">
        <w:rPr>
          <w:rFonts w:cstheme="minorHAnsi"/>
          <w:sz w:val="24"/>
          <w:szCs w:val="24"/>
        </w:rPr>
        <w:t xml:space="preserve"> curriculum materials as measured by our research and assessment. We propose this hands-on, personal approach both to affect the teaching of engineering and to provide another method of reinforcing the related science content already being taught in the classroom. By modeling and demonstrating the power of hands-on science and engineering learning, the </w:t>
      </w:r>
      <w:proofErr w:type="spellStart"/>
      <w:r w:rsidR="00340DB9" w:rsidRPr="0063726D">
        <w:rPr>
          <w:rFonts w:cstheme="minorHAnsi"/>
          <w:sz w:val="24"/>
          <w:szCs w:val="24"/>
        </w:rPr>
        <w:t>EiE</w:t>
      </w:r>
      <w:proofErr w:type="spellEnd"/>
      <w:r w:rsidR="00340DB9" w:rsidRPr="0063726D">
        <w:rPr>
          <w:rFonts w:cstheme="minorHAnsi"/>
          <w:sz w:val="24"/>
          <w:szCs w:val="24"/>
        </w:rPr>
        <w:t xml:space="preserve"> program strives to influence educators to adopt more constructivist methods of teaching</w:t>
      </w:r>
      <w:r w:rsidR="00340DB9" w:rsidRPr="0063726D">
        <w:rPr>
          <w:rFonts w:cstheme="minorHAnsi"/>
          <w:sz w:val="18"/>
          <w:szCs w:val="18"/>
        </w:rPr>
        <w:t>.</w:t>
      </w:r>
    </w:p>
    <w:p w:rsidR="006371D3" w:rsidRDefault="006371D3" w:rsidP="006371D3">
      <w:pPr>
        <w:pStyle w:val="ListParagraph"/>
        <w:rPr>
          <w:rFonts w:cstheme="minorHAnsi"/>
          <w:sz w:val="18"/>
          <w:szCs w:val="18"/>
        </w:rPr>
      </w:pPr>
    </w:p>
    <w:p w:rsidR="006371D3" w:rsidRDefault="000A5BE6" w:rsidP="006371D3">
      <w:pPr>
        <w:pStyle w:val="ListParagraph"/>
        <w:rPr>
          <w:rFonts w:cstheme="minorHAnsi"/>
          <w:sz w:val="18"/>
          <w:szCs w:val="18"/>
        </w:rPr>
      </w:pPr>
      <w:r>
        <w:rPr>
          <w:noProof/>
          <w:sz w:val="18"/>
          <w:szCs w:val="18"/>
        </w:rPr>
        <w:drawing>
          <wp:inline distT="0" distB="0" distL="0" distR="0">
            <wp:extent cx="3063766" cy="60963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BUsiness car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6713" cy="624148"/>
                    </a:xfrm>
                    <a:prstGeom prst="rect">
                      <a:avLst/>
                    </a:prstGeom>
                  </pic:spPr>
                </pic:pic>
              </a:graphicData>
            </a:graphic>
          </wp:inline>
        </w:drawing>
      </w:r>
    </w:p>
    <w:p w:rsidR="006371D3" w:rsidRDefault="000A5BE6" w:rsidP="006371D3">
      <w:pPr>
        <w:pStyle w:val="ListParagraph"/>
        <w:rPr>
          <w:rFonts w:cstheme="minorHAnsi"/>
          <w:sz w:val="18"/>
          <w:szCs w:val="18"/>
        </w:rPr>
      </w:pPr>
      <w:r>
        <w:rPr>
          <w:noProof/>
          <w:sz w:val="18"/>
          <w:szCs w:val="18"/>
        </w:rPr>
        <w:drawing>
          <wp:anchor distT="0" distB="0" distL="114300" distR="114300" simplePos="0" relativeHeight="251685888" behindDoc="0" locked="0" layoutInCell="1" allowOverlap="1">
            <wp:simplePos x="0" y="0"/>
            <wp:positionH relativeFrom="column">
              <wp:posOffset>1270591</wp:posOffset>
            </wp:positionH>
            <wp:positionV relativeFrom="paragraph">
              <wp:posOffset>30305</wp:posOffset>
            </wp:positionV>
            <wp:extent cx="1271270" cy="40068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E%20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270" cy="400685"/>
                    </a:xfrm>
                    <a:prstGeom prst="rect">
                      <a:avLst/>
                    </a:prstGeom>
                  </pic:spPr>
                </pic:pic>
              </a:graphicData>
            </a:graphic>
            <wp14:sizeRelH relativeFrom="page">
              <wp14:pctWidth>0</wp14:pctWidth>
            </wp14:sizeRelH>
            <wp14:sizeRelV relativeFrom="page">
              <wp14:pctHeight>0</wp14:pctHeight>
            </wp14:sizeRelV>
          </wp:anchor>
        </w:drawing>
      </w:r>
    </w:p>
    <w:p w:rsidR="0063726D" w:rsidRDefault="0063726D" w:rsidP="00C142A1">
      <w:pPr>
        <w:pStyle w:val="Default"/>
        <w:jc w:val="center"/>
        <w:rPr>
          <w:rFonts w:asciiTheme="minorHAnsi" w:hAnsiTheme="minorHAnsi" w:cstheme="minorHAnsi"/>
          <w:b/>
          <w:bCs/>
          <w:sz w:val="28"/>
          <w:szCs w:val="28"/>
        </w:rPr>
      </w:pPr>
    </w:p>
    <w:p w:rsidR="0063726D" w:rsidRDefault="0063726D" w:rsidP="00C142A1">
      <w:pPr>
        <w:pStyle w:val="Default"/>
        <w:jc w:val="center"/>
        <w:rPr>
          <w:rFonts w:asciiTheme="minorHAnsi" w:hAnsiTheme="minorHAnsi" w:cstheme="minorHAnsi"/>
          <w:b/>
          <w:bCs/>
          <w:sz w:val="28"/>
          <w:szCs w:val="28"/>
        </w:rPr>
      </w:pPr>
    </w:p>
    <w:p w:rsidR="006371D3" w:rsidRPr="00E969B0" w:rsidRDefault="006371D3" w:rsidP="00C142A1">
      <w:pPr>
        <w:pStyle w:val="Default"/>
        <w:jc w:val="center"/>
        <w:rPr>
          <w:rFonts w:asciiTheme="minorHAnsi" w:hAnsiTheme="minorHAnsi" w:cstheme="minorHAnsi"/>
          <w:sz w:val="20"/>
          <w:szCs w:val="20"/>
        </w:rPr>
      </w:pPr>
      <w:r w:rsidRPr="00E969B0">
        <w:rPr>
          <w:rFonts w:asciiTheme="minorHAnsi" w:hAnsiTheme="minorHAnsi" w:cstheme="minorHAnsi"/>
          <w:b/>
          <w:bCs/>
          <w:sz w:val="20"/>
          <w:szCs w:val="20"/>
        </w:rPr>
        <w:t>1 Day Workshop Agenda</w:t>
      </w:r>
    </w:p>
    <w:p w:rsidR="006371D3" w:rsidRPr="00E969B0" w:rsidRDefault="006371D3" w:rsidP="006371D3">
      <w:pPr>
        <w:pStyle w:val="ListParagraph"/>
        <w:rPr>
          <w:rFonts w:cstheme="minorHAnsi"/>
          <w:sz w:val="20"/>
          <w:szCs w:val="20"/>
        </w:rPr>
      </w:pPr>
    </w:p>
    <w:tbl>
      <w:tblPr>
        <w:tblW w:w="9648" w:type="dxa"/>
        <w:tblBorders>
          <w:top w:val="nil"/>
          <w:left w:val="nil"/>
          <w:bottom w:val="nil"/>
          <w:right w:val="nil"/>
        </w:tblBorders>
        <w:tblLayout w:type="fixed"/>
        <w:tblLook w:val="0000" w:firstRow="0" w:lastRow="0" w:firstColumn="0" w:lastColumn="0" w:noHBand="0" w:noVBand="0"/>
      </w:tblPr>
      <w:tblGrid>
        <w:gridCol w:w="3027"/>
        <w:gridCol w:w="6621"/>
      </w:tblGrid>
      <w:tr w:rsidR="006371D3" w:rsidRPr="00E969B0" w:rsidTr="006371D3">
        <w:trPr>
          <w:trHeight w:val="1991"/>
        </w:trPr>
        <w:tc>
          <w:tcPr>
            <w:tcW w:w="3027" w:type="dxa"/>
          </w:tcPr>
          <w:p w:rsidR="006371D3" w:rsidRPr="00E969B0" w:rsidRDefault="006371D3" w:rsidP="002C4526">
            <w:pPr>
              <w:pStyle w:val="Default"/>
              <w:rPr>
                <w:rFonts w:asciiTheme="minorHAnsi" w:hAnsiTheme="minorHAnsi" w:cstheme="minorHAnsi"/>
                <w:sz w:val="20"/>
                <w:szCs w:val="20"/>
              </w:rPr>
            </w:pPr>
            <w:bookmarkStart w:id="0" w:name="_GoBack"/>
            <w:r w:rsidRPr="00E969B0">
              <w:rPr>
                <w:rFonts w:asciiTheme="minorHAnsi" w:hAnsiTheme="minorHAnsi" w:cstheme="minorHAnsi"/>
                <w:b/>
                <w:bCs/>
                <w:sz w:val="20"/>
                <w:szCs w:val="20"/>
              </w:rPr>
              <w:t xml:space="preserve">What is Technology? </w:t>
            </w:r>
          </w:p>
          <w:p w:rsidR="006371D3" w:rsidRPr="00E969B0" w:rsidRDefault="006371D3">
            <w:pPr>
              <w:pStyle w:val="Default"/>
              <w:rPr>
                <w:rFonts w:asciiTheme="minorHAnsi" w:hAnsiTheme="minorHAnsi" w:cstheme="minorHAnsi"/>
                <w:sz w:val="20"/>
                <w:szCs w:val="20"/>
              </w:rPr>
            </w:pPr>
            <w:r w:rsidRPr="00E969B0">
              <w:rPr>
                <w:rFonts w:asciiTheme="minorHAnsi" w:hAnsiTheme="minorHAnsi" w:cstheme="minorHAnsi"/>
                <w:b/>
                <w:bCs/>
                <w:sz w:val="20"/>
                <w:szCs w:val="20"/>
              </w:rPr>
              <w:t xml:space="preserve">Technology in a Bag </w:t>
            </w:r>
          </w:p>
        </w:tc>
        <w:tc>
          <w:tcPr>
            <w:tcW w:w="6621" w:type="dxa"/>
          </w:tcPr>
          <w:p w:rsidR="006371D3" w:rsidRPr="00E969B0" w:rsidRDefault="006371D3">
            <w:pPr>
              <w:pStyle w:val="Default"/>
              <w:rPr>
                <w:rFonts w:asciiTheme="minorHAnsi" w:hAnsiTheme="minorHAnsi" w:cstheme="minorHAnsi"/>
                <w:sz w:val="20"/>
                <w:szCs w:val="20"/>
              </w:rPr>
            </w:pPr>
            <w:r w:rsidRPr="00E969B0">
              <w:rPr>
                <w:rFonts w:asciiTheme="minorHAnsi" w:hAnsiTheme="minorHAnsi" w:cstheme="minorHAnsi"/>
                <w:sz w:val="20"/>
                <w:szCs w:val="20"/>
              </w:rPr>
              <w:t xml:space="preserve">Participants will: </w:t>
            </w:r>
          </w:p>
          <w:p w:rsidR="006371D3" w:rsidRPr="00E969B0" w:rsidRDefault="006371D3" w:rsidP="0075739F">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reflect</w:t>
            </w:r>
            <w:proofErr w:type="gramEnd"/>
            <w:r w:rsidRPr="00E969B0">
              <w:rPr>
                <w:rFonts w:asciiTheme="minorHAnsi" w:hAnsiTheme="minorHAnsi" w:cstheme="minorHAnsi"/>
                <w:sz w:val="20"/>
                <w:szCs w:val="20"/>
              </w:rPr>
              <w:t xml:space="preserve"> upon personal knowledge of technology and engineering as well as students’ prior knowledge and misconceptions of technology. </w:t>
            </w:r>
          </w:p>
          <w:p w:rsidR="006371D3" w:rsidRPr="00E969B0" w:rsidRDefault="006371D3" w:rsidP="0075739F">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examine</w:t>
            </w:r>
            <w:proofErr w:type="gramEnd"/>
            <w:r w:rsidRPr="00E969B0">
              <w:rPr>
                <w:rFonts w:asciiTheme="minorHAnsi" w:hAnsiTheme="minorHAnsi" w:cstheme="minorHAnsi"/>
                <w:sz w:val="20"/>
                <w:szCs w:val="20"/>
              </w:rPr>
              <w:t xml:space="preserve"> and discuss different technologies (objects, systems, and processes) and use their experiences to construct a working definition of technology. </w:t>
            </w:r>
          </w:p>
          <w:p w:rsidR="006371D3" w:rsidRPr="00E969B0" w:rsidRDefault="006371D3" w:rsidP="0075739F">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connect</w:t>
            </w:r>
            <w:proofErr w:type="gramEnd"/>
            <w:r w:rsidRPr="00E969B0">
              <w:rPr>
                <w:rFonts w:asciiTheme="minorHAnsi" w:hAnsiTheme="minorHAnsi" w:cstheme="minorHAnsi"/>
                <w:sz w:val="20"/>
                <w:szCs w:val="20"/>
              </w:rPr>
              <w:t xml:space="preserve"> the development of technologies to the field of engineering. </w:t>
            </w:r>
          </w:p>
        </w:tc>
      </w:tr>
      <w:bookmarkEnd w:id="0"/>
      <w:tr w:rsidR="006371D3" w:rsidRPr="00E969B0" w:rsidTr="006371D3">
        <w:trPr>
          <w:trHeight w:val="1266"/>
        </w:trPr>
        <w:tc>
          <w:tcPr>
            <w:tcW w:w="3027" w:type="dxa"/>
          </w:tcPr>
          <w:p w:rsidR="006371D3" w:rsidRPr="00E969B0" w:rsidRDefault="006371D3">
            <w:pPr>
              <w:pStyle w:val="Default"/>
              <w:rPr>
                <w:rFonts w:asciiTheme="minorHAnsi" w:hAnsiTheme="minorHAnsi" w:cstheme="minorHAnsi"/>
                <w:sz w:val="20"/>
                <w:szCs w:val="20"/>
              </w:rPr>
            </w:pPr>
            <w:r w:rsidRPr="00E969B0">
              <w:rPr>
                <w:rFonts w:asciiTheme="minorHAnsi" w:hAnsiTheme="minorHAnsi" w:cstheme="minorHAnsi"/>
                <w:b/>
                <w:bCs/>
                <w:sz w:val="20"/>
                <w:szCs w:val="20"/>
              </w:rPr>
              <w:t xml:space="preserve">What is Engineering? </w:t>
            </w:r>
          </w:p>
          <w:p w:rsidR="006371D3" w:rsidRPr="00E969B0" w:rsidRDefault="006371D3">
            <w:pPr>
              <w:pStyle w:val="Default"/>
              <w:rPr>
                <w:rFonts w:asciiTheme="minorHAnsi" w:hAnsiTheme="minorHAnsi" w:cstheme="minorHAnsi"/>
                <w:sz w:val="20"/>
                <w:szCs w:val="20"/>
              </w:rPr>
            </w:pPr>
            <w:r w:rsidRPr="00E969B0">
              <w:rPr>
                <w:rFonts w:asciiTheme="minorHAnsi" w:hAnsiTheme="minorHAnsi" w:cstheme="minorHAnsi"/>
                <w:b/>
                <w:bCs/>
                <w:sz w:val="20"/>
                <w:szCs w:val="20"/>
              </w:rPr>
              <w:t xml:space="preserve">Tower Power </w:t>
            </w:r>
          </w:p>
        </w:tc>
        <w:tc>
          <w:tcPr>
            <w:tcW w:w="6621" w:type="dxa"/>
          </w:tcPr>
          <w:p w:rsidR="006371D3" w:rsidRPr="00E969B0" w:rsidRDefault="006371D3">
            <w:pPr>
              <w:pStyle w:val="Default"/>
              <w:rPr>
                <w:rFonts w:asciiTheme="minorHAnsi" w:hAnsiTheme="minorHAnsi" w:cstheme="minorHAnsi"/>
                <w:sz w:val="20"/>
                <w:szCs w:val="20"/>
              </w:rPr>
            </w:pPr>
            <w:r w:rsidRPr="00E969B0">
              <w:rPr>
                <w:rFonts w:asciiTheme="minorHAnsi" w:hAnsiTheme="minorHAnsi" w:cstheme="minorHAnsi"/>
                <w:sz w:val="20"/>
                <w:szCs w:val="20"/>
              </w:rPr>
              <w:t xml:space="preserve">Participants will: </w:t>
            </w:r>
          </w:p>
          <w:p w:rsidR="006371D3" w:rsidRPr="00E969B0" w:rsidRDefault="006371D3" w:rsidP="0075739F">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engage</w:t>
            </w:r>
            <w:proofErr w:type="gramEnd"/>
            <w:r w:rsidRPr="00E969B0">
              <w:rPr>
                <w:rFonts w:asciiTheme="minorHAnsi" w:hAnsiTheme="minorHAnsi" w:cstheme="minorHAnsi"/>
                <w:sz w:val="20"/>
                <w:szCs w:val="20"/>
              </w:rPr>
              <w:t xml:space="preserve"> in a common engineering experience. </w:t>
            </w:r>
          </w:p>
          <w:p w:rsidR="006371D3" w:rsidRPr="00E969B0" w:rsidRDefault="006371D3" w:rsidP="0075739F">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realize</w:t>
            </w:r>
            <w:proofErr w:type="gramEnd"/>
            <w:r w:rsidRPr="00E969B0">
              <w:rPr>
                <w:rFonts w:asciiTheme="minorHAnsi" w:hAnsiTheme="minorHAnsi" w:cstheme="minorHAnsi"/>
                <w:sz w:val="20"/>
                <w:szCs w:val="20"/>
              </w:rPr>
              <w:t xml:space="preserve"> that they naturally solve problems using a process similar to the EDP. </w:t>
            </w:r>
          </w:p>
          <w:p w:rsidR="006371D3" w:rsidRPr="00E969B0" w:rsidRDefault="006371D3" w:rsidP="0075739F">
            <w:pPr>
              <w:pStyle w:val="Default"/>
              <w:numPr>
                <w:ilvl w:val="0"/>
                <w:numId w:val="2"/>
              </w:numPr>
              <w:rPr>
                <w:rFonts w:asciiTheme="minorHAnsi" w:hAnsiTheme="minorHAnsi" w:cstheme="minorHAnsi"/>
                <w:sz w:val="20"/>
                <w:szCs w:val="20"/>
              </w:rPr>
            </w:pPr>
            <w:r w:rsidRPr="00E969B0">
              <w:rPr>
                <w:rFonts w:asciiTheme="minorHAnsi" w:hAnsiTheme="minorHAnsi" w:cstheme="minorHAnsi"/>
                <w:sz w:val="20"/>
                <w:szCs w:val="20"/>
              </w:rPr>
              <w:t xml:space="preserve"> </w:t>
            </w:r>
            <w:proofErr w:type="gramStart"/>
            <w:r w:rsidRPr="00E969B0">
              <w:rPr>
                <w:rFonts w:asciiTheme="minorHAnsi" w:hAnsiTheme="minorHAnsi" w:cstheme="minorHAnsi"/>
                <w:sz w:val="20"/>
                <w:szCs w:val="20"/>
              </w:rPr>
              <w:t>develop</w:t>
            </w:r>
            <w:proofErr w:type="gramEnd"/>
            <w:r w:rsidRPr="00E969B0">
              <w:rPr>
                <w:rFonts w:asciiTheme="minorHAnsi" w:hAnsiTheme="minorHAnsi" w:cstheme="minorHAnsi"/>
                <w:sz w:val="20"/>
                <w:szCs w:val="20"/>
              </w:rPr>
              <w:t xml:space="preserve"> the five-step EDP that forms the backbone of the </w:t>
            </w:r>
            <w:proofErr w:type="spellStart"/>
            <w:r w:rsidRPr="00E969B0">
              <w:rPr>
                <w:rFonts w:asciiTheme="minorHAnsi" w:hAnsiTheme="minorHAnsi" w:cstheme="minorHAnsi"/>
                <w:sz w:val="20"/>
                <w:szCs w:val="20"/>
              </w:rPr>
              <w:t>EiE</w:t>
            </w:r>
            <w:proofErr w:type="spellEnd"/>
            <w:r w:rsidRPr="00E969B0">
              <w:rPr>
                <w:rFonts w:asciiTheme="minorHAnsi" w:hAnsiTheme="minorHAnsi" w:cstheme="minorHAnsi"/>
                <w:sz w:val="20"/>
                <w:szCs w:val="20"/>
              </w:rPr>
              <w:t xml:space="preserve"> units. </w:t>
            </w:r>
          </w:p>
          <w:p w:rsidR="006371D3" w:rsidRPr="00E969B0" w:rsidRDefault="006371D3">
            <w:pPr>
              <w:pStyle w:val="Default"/>
              <w:rPr>
                <w:rFonts w:asciiTheme="minorHAnsi" w:hAnsiTheme="minorHAnsi" w:cstheme="minorHAnsi"/>
                <w:sz w:val="20"/>
                <w:szCs w:val="20"/>
              </w:rPr>
            </w:pPr>
          </w:p>
        </w:tc>
      </w:tr>
      <w:tr w:rsidR="006371D3" w:rsidRPr="00E969B0" w:rsidTr="006371D3">
        <w:trPr>
          <w:trHeight w:val="621"/>
        </w:trPr>
        <w:tc>
          <w:tcPr>
            <w:tcW w:w="3027" w:type="dxa"/>
          </w:tcPr>
          <w:p w:rsidR="006371D3" w:rsidRPr="00E969B0" w:rsidRDefault="006371D3">
            <w:pPr>
              <w:pStyle w:val="Default"/>
              <w:rPr>
                <w:rFonts w:asciiTheme="minorHAnsi" w:hAnsiTheme="minorHAnsi" w:cstheme="minorHAnsi"/>
                <w:sz w:val="20"/>
                <w:szCs w:val="20"/>
              </w:rPr>
            </w:pPr>
            <w:r w:rsidRPr="00E969B0">
              <w:rPr>
                <w:rFonts w:asciiTheme="minorHAnsi" w:hAnsiTheme="minorHAnsi" w:cstheme="minorHAnsi"/>
                <w:b/>
                <w:bCs/>
                <w:sz w:val="20"/>
                <w:szCs w:val="20"/>
              </w:rPr>
              <w:t xml:space="preserve">Introduction to the </w:t>
            </w:r>
            <w:proofErr w:type="spellStart"/>
            <w:r w:rsidRPr="00E969B0">
              <w:rPr>
                <w:rFonts w:asciiTheme="minorHAnsi" w:hAnsiTheme="minorHAnsi" w:cstheme="minorHAnsi"/>
                <w:b/>
                <w:bCs/>
                <w:sz w:val="20"/>
                <w:szCs w:val="20"/>
              </w:rPr>
              <w:t>EiE</w:t>
            </w:r>
            <w:proofErr w:type="spellEnd"/>
            <w:r w:rsidRPr="00E969B0">
              <w:rPr>
                <w:rFonts w:asciiTheme="minorHAnsi" w:hAnsiTheme="minorHAnsi" w:cstheme="minorHAnsi"/>
                <w:b/>
                <w:bCs/>
                <w:sz w:val="20"/>
                <w:szCs w:val="20"/>
              </w:rPr>
              <w:t xml:space="preserve"> Program </w:t>
            </w:r>
          </w:p>
        </w:tc>
        <w:tc>
          <w:tcPr>
            <w:tcW w:w="6621" w:type="dxa"/>
          </w:tcPr>
          <w:p w:rsidR="006371D3" w:rsidRPr="00E969B0" w:rsidRDefault="0075739F" w:rsidP="0075739F">
            <w:pPr>
              <w:pStyle w:val="Default"/>
              <w:rPr>
                <w:rFonts w:asciiTheme="minorHAnsi" w:hAnsiTheme="minorHAnsi" w:cstheme="minorHAnsi"/>
                <w:sz w:val="20"/>
                <w:szCs w:val="20"/>
              </w:rPr>
            </w:pPr>
            <w:r w:rsidRPr="00E969B0">
              <w:rPr>
                <w:rFonts w:asciiTheme="minorHAnsi" w:hAnsiTheme="minorHAnsi" w:cstheme="minorHAnsi"/>
                <w:sz w:val="20"/>
                <w:szCs w:val="20"/>
              </w:rPr>
              <w:t>Participants will</w:t>
            </w:r>
            <w:r w:rsidR="006371D3" w:rsidRPr="00E969B0">
              <w:rPr>
                <w:rFonts w:asciiTheme="minorHAnsi" w:hAnsiTheme="minorHAnsi" w:cstheme="minorHAnsi"/>
                <w:sz w:val="20"/>
                <w:szCs w:val="20"/>
              </w:rPr>
              <w:t xml:space="preserve"> learn about the background and goals of the </w:t>
            </w:r>
            <w:proofErr w:type="spellStart"/>
            <w:r w:rsidR="006371D3" w:rsidRPr="00E969B0">
              <w:rPr>
                <w:rFonts w:asciiTheme="minorHAnsi" w:hAnsiTheme="minorHAnsi" w:cstheme="minorHAnsi"/>
                <w:sz w:val="20"/>
                <w:szCs w:val="20"/>
              </w:rPr>
              <w:t>EiE</w:t>
            </w:r>
            <w:proofErr w:type="spellEnd"/>
            <w:r w:rsidR="006371D3" w:rsidRPr="00E969B0">
              <w:rPr>
                <w:rFonts w:asciiTheme="minorHAnsi" w:hAnsiTheme="minorHAnsi" w:cstheme="minorHAnsi"/>
                <w:sz w:val="20"/>
                <w:szCs w:val="20"/>
              </w:rPr>
              <w:t xml:space="preserve"> project. </w:t>
            </w:r>
          </w:p>
        </w:tc>
      </w:tr>
      <w:tr w:rsidR="006371D3" w:rsidRPr="00E969B0" w:rsidTr="006371D3">
        <w:trPr>
          <w:trHeight w:val="621"/>
        </w:trPr>
        <w:tc>
          <w:tcPr>
            <w:tcW w:w="3027" w:type="dxa"/>
            <w:tcBorders>
              <w:left w:val="nil"/>
            </w:tcBorders>
          </w:tcPr>
          <w:p w:rsidR="00A86C4B" w:rsidRPr="00E969B0" w:rsidRDefault="00A86C4B" w:rsidP="00A86C4B">
            <w:pPr>
              <w:pStyle w:val="Default"/>
              <w:rPr>
                <w:rFonts w:asciiTheme="minorHAnsi" w:hAnsiTheme="minorHAnsi"/>
                <w:b/>
                <w:bCs/>
                <w:sz w:val="20"/>
                <w:szCs w:val="20"/>
              </w:rPr>
            </w:pPr>
            <w:r w:rsidRPr="00E969B0">
              <w:rPr>
                <w:rFonts w:asciiTheme="minorHAnsi" w:hAnsiTheme="minorHAnsi"/>
                <w:b/>
                <w:bCs/>
                <w:sz w:val="20"/>
                <w:szCs w:val="20"/>
              </w:rPr>
              <w:t xml:space="preserve">Lesson 1 </w:t>
            </w:r>
          </w:p>
          <w:p w:rsidR="006371D3" w:rsidRPr="00E969B0" w:rsidRDefault="00A86C4B" w:rsidP="00A86C4B">
            <w:pPr>
              <w:pStyle w:val="Default"/>
              <w:rPr>
                <w:rFonts w:asciiTheme="minorHAnsi" w:hAnsiTheme="minorHAnsi" w:cstheme="minorHAnsi"/>
                <w:b/>
                <w:bCs/>
                <w:sz w:val="20"/>
                <w:szCs w:val="20"/>
              </w:rPr>
            </w:pPr>
            <w:proofErr w:type="spellStart"/>
            <w:r w:rsidRPr="00E969B0">
              <w:rPr>
                <w:rFonts w:asciiTheme="minorHAnsi" w:hAnsiTheme="minorHAnsi"/>
                <w:b/>
                <w:bCs/>
                <w:sz w:val="20"/>
                <w:szCs w:val="20"/>
              </w:rPr>
              <w:t>Tehya’s</w:t>
            </w:r>
            <w:proofErr w:type="spellEnd"/>
            <w:r w:rsidRPr="00E969B0">
              <w:rPr>
                <w:rFonts w:asciiTheme="minorHAnsi" w:hAnsiTheme="minorHAnsi"/>
                <w:b/>
                <w:bCs/>
                <w:sz w:val="20"/>
                <w:szCs w:val="20"/>
              </w:rPr>
              <w:t xml:space="preserve"> Pollution Solution</w:t>
            </w:r>
          </w:p>
        </w:tc>
        <w:tc>
          <w:tcPr>
            <w:tcW w:w="6621" w:type="dxa"/>
          </w:tcPr>
          <w:p w:rsidR="00A86C4B" w:rsidRPr="00E969B0" w:rsidRDefault="00A86C4B" w:rsidP="00A86C4B">
            <w:pPr>
              <w:pStyle w:val="Default"/>
              <w:rPr>
                <w:rFonts w:asciiTheme="minorHAnsi" w:hAnsiTheme="minorHAnsi"/>
                <w:sz w:val="20"/>
                <w:szCs w:val="20"/>
              </w:rPr>
            </w:pPr>
            <w:r w:rsidRPr="00E969B0">
              <w:rPr>
                <w:rFonts w:asciiTheme="minorHAnsi" w:hAnsiTheme="minorHAnsi"/>
                <w:sz w:val="20"/>
                <w:szCs w:val="20"/>
              </w:rPr>
              <w:t xml:space="preserve">Participants will be introduced to the unit storybook, which will set the context for, and introduce content integral to, the rest of the unit. </w:t>
            </w:r>
          </w:p>
          <w:p w:rsidR="006371D3" w:rsidRPr="00E969B0" w:rsidRDefault="006371D3">
            <w:pPr>
              <w:pStyle w:val="Default"/>
              <w:rPr>
                <w:rFonts w:asciiTheme="minorHAnsi" w:hAnsiTheme="minorHAnsi" w:cstheme="minorHAnsi"/>
                <w:sz w:val="20"/>
                <w:szCs w:val="20"/>
              </w:rPr>
            </w:pPr>
          </w:p>
        </w:tc>
      </w:tr>
      <w:tr w:rsidR="006371D3" w:rsidRPr="00E969B0" w:rsidTr="006371D3">
        <w:trPr>
          <w:trHeight w:val="621"/>
        </w:trPr>
        <w:tc>
          <w:tcPr>
            <w:tcW w:w="3027" w:type="dxa"/>
            <w:tcBorders>
              <w:left w:val="nil"/>
            </w:tcBorders>
          </w:tcPr>
          <w:p w:rsidR="00A86C4B" w:rsidRPr="00E969B0" w:rsidRDefault="00A86C4B" w:rsidP="00A86C4B">
            <w:pPr>
              <w:pStyle w:val="Default"/>
              <w:rPr>
                <w:rFonts w:asciiTheme="minorHAnsi" w:hAnsiTheme="minorHAnsi"/>
                <w:b/>
                <w:bCs/>
                <w:sz w:val="20"/>
                <w:szCs w:val="20"/>
              </w:rPr>
            </w:pPr>
            <w:r w:rsidRPr="00E969B0">
              <w:rPr>
                <w:rFonts w:asciiTheme="minorHAnsi" w:hAnsiTheme="minorHAnsi"/>
                <w:b/>
                <w:bCs/>
                <w:sz w:val="20"/>
                <w:szCs w:val="20"/>
              </w:rPr>
              <w:t xml:space="preserve">Lesson 2 </w:t>
            </w:r>
          </w:p>
          <w:p w:rsidR="006371D3" w:rsidRPr="00E969B0" w:rsidRDefault="00A86C4B" w:rsidP="00A86C4B">
            <w:pPr>
              <w:pStyle w:val="Default"/>
              <w:rPr>
                <w:rFonts w:asciiTheme="minorHAnsi" w:hAnsiTheme="minorHAnsi" w:cstheme="minorHAnsi"/>
                <w:b/>
                <w:bCs/>
                <w:sz w:val="20"/>
                <w:szCs w:val="20"/>
              </w:rPr>
            </w:pPr>
            <w:r w:rsidRPr="00E969B0">
              <w:rPr>
                <w:rFonts w:asciiTheme="minorHAnsi" w:hAnsiTheme="minorHAnsi"/>
                <w:b/>
                <w:bCs/>
                <w:sz w:val="20"/>
                <w:szCs w:val="20"/>
              </w:rPr>
              <w:t>An Enviro-Mystery</w:t>
            </w:r>
            <w:r w:rsidR="006371D3" w:rsidRPr="00E969B0">
              <w:rPr>
                <w:rFonts w:asciiTheme="minorHAnsi" w:hAnsiTheme="minorHAnsi" w:cstheme="minorHAnsi"/>
                <w:b/>
                <w:bCs/>
                <w:sz w:val="20"/>
                <w:szCs w:val="20"/>
              </w:rPr>
              <w:t xml:space="preserve">! </w:t>
            </w:r>
          </w:p>
        </w:tc>
        <w:tc>
          <w:tcPr>
            <w:tcW w:w="6621" w:type="dxa"/>
          </w:tcPr>
          <w:p w:rsidR="0075739F" w:rsidRPr="00E969B0" w:rsidRDefault="00A86C4B" w:rsidP="00A86C4B">
            <w:pPr>
              <w:pStyle w:val="Default"/>
              <w:rPr>
                <w:rFonts w:asciiTheme="minorHAnsi" w:hAnsiTheme="minorHAnsi"/>
                <w:sz w:val="20"/>
                <w:szCs w:val="20"/>
              </w:rPr>
            </w:pPr>
            <w:r w:rsidRPr="00E969B0">
              <w:rPr>
                <w:rFonts w:asciiTheme="minorHAnsi" w:hAnsiTheme="minorHAnsi"/>
                <w:sz w:val="20"/>
                <w:szCs w:val="20"/>
              </w:rPr>
              <w:t>Participants will</w:t>
            </w:r>
            <w:r w:rsidR="0075739F" w:rsidRPr="00E969B0">
              <w:rPr>
                <w:rFonts w:asciiTheme="minorHAnsi" w:hAnsiTheme="minorHAnsi"/>
                <w:sz w:val="20"/>
                <w:szCs w:val="20"/>
              </w:rPr>
              <w:t>:</w:t>
            </w:r>
          </w:p>
          <w:p w:rsidR="0075739F" w:rsidRPr="00E969B0" w:rsidRDefault="00A86C4B" w:rsidP="0075739F">
            <w:pPr>
              <w:pStyle w:val="Default"/>
              <w:numPr>
                <w:ilvl w:val="0"/>
                <w:numId w:val="2"/>
              </w:numPr>
              <w:rPr>
                <w:rFonts w:asciiTheme="minorHAnsi" w:hAnsiTheme="minorHAnsi"/>
                <w:sz w:val="20"/>
                <w:szCs w:val="20"/>
              </w:rPr>
            </w:pPr>
            <w:r w:rsidRPr="00E969B0">
              <w:rPr>
                <w:rFonts w:asciiTheme="minorHAnsi" w:hAnsiTheme="minorHAnsi"/>
                <w:sz w:val="20"/>
                <w:szCs w:val="20"/>
              </w:rPr>
              <w:t xml:space="preserve"> be introduced to th</w:t>
            </w:r>
            <w:r w:rsidR="0075739F" w:rsidRPr="00E969B0">
              <w:rPr>
                <w:rFonts w:asciiTheme="minorHAnsi" w:hAnsiTheme="minorHAnsi"/>
                <w:sz w:val="20"/>
                <w:szCs w:val="20"/>
              </w:rPr>
              <w:t>e Greentown pH testing activity</w:t>
            </w:r>
          </w:p>
          <w:p w:rsidR="0075739F" w:rsidRPr="00E969B0" w:rsidRDefault="00A86C4B" w:rsidP="0075739F">
            <w:pPr>
              <w:pStyle w:val="Default"/>
              <w:numPr>
                <w:ilvl w:val="0"/>
                <w:numId w:val="2"/>
              </w:numPr>
              <w:rPr>
                <w:rFonts w:asciiTheme="minorHAnsi" w:hAnsiTheme="minorHAnsi"/>
                <w:sz w:val="20"/>
                <w:szCs w:val="20"/>
              </w:rPr>
            </w:pPr>
            <w:r w:rsidRPr="00E969B0">
              <w:rPr>
                <w:rFonts w:asciiTheme="minorHAnsi" w:hAnsiTheme="minorHAnsi"/>
                <w:sz w:val="20"/>
                <w:szCs w:val="20"/>
              </w:rPr>
              <w:t xml:space="preserve"> reflect on how pollution can move from one part of the environment into anothe</w:t>
            </w:r>
            <w:r w:rsidR="0075739F" w:rsidRPr="00E969B0">
              <w:rPr>
                <w:rFonts w:asciiTheme="minorHAnsi" w:hAnsiTheme="minorHAnsi"/>
                <w:sz w:val="20"/>
                <w:szCs w:val="20"/>
              </w:rPr>
              <w:t>r (e.g., from water into soil)</w:t>
            </w:r>
          </w:p>
          <w:p w:rsidR="00A86C4B" w:rsidRPr="00E969B0" w:rsidRDefault="00A86C4B" w:rsidP="0075739F">
            <w:pPr>
              <w:pStyle w:val="Default"/>
              <w:numPr>
                <w:ilvl w:val="0"/>
                <w:numId w:val="2"/>
              </w:numPr>
              <w:rPr>
                <w:rFonts w:asciiTheme="minorHAnsi" w:hAnsiTheme="minorHAnsi"/>
                <w:sz w:val="20"/>
                <w:szCs w:val="20"/>
              </w:rPr>
            </w:pPr>
            <w:r w:rsidRPr="00E969B0">
              <w:rPr>
                <w:rFonts w:asciiTheme="minorHAnsi" w:hAnsiTheme="minorHAnsi"/>
                <w:sz w:val="20"/>
                <w:szCs w:val="20"/>
              </w:rPr>
              <w:t xml:space="preserve"> </w:t>
            </w:r>
            <w:proofErr w:type="gramStart"/>
            <w:r w:rsidRPr="00E969B0">
              <w:rPr>
                <w:rFonts w:asciiTheme="minorHAnsi" w:hAnsiTheme="minorHAnsi"/>
                <w:sz w:val="20"/>
                <w:szCs w:val="20"/>
              </w:rPr>
              <w:t>understand</w:t>
            </w:r>
            <w:proofErr w:type="gramEnd"/>
            <w:r w:rsidRPr="00E969B0">
              <w:rPr>
                <w:rFonts w:asciiTheme="minorHAnsi" w:hAnsiTheme="minorHAnsi"/>
                <w:sz w:val="20"/>
                <w:szCs w:val="20"/>
              </w:rPr>
              <w:t xml:space="preserve"> how environmental engineers work to identify sources of pollution be gathering and interpreting data. </w:t>
            </w:r>
          </w:p>
          <w:p w:rsidR="006371D3" w:rsidRPr="00E969B0" w:rsidRDefault="006371D3">
            <w:pPr>
              <w:pStyle w:val="Default"/>
              <w:rPr>
                <w:rFonts w:asciiTheme="minorHAnsi" w:hAnsiTheme="minorHAnsi" w:cstheme="minorHAnsi"/>
                <w:sz w:val="20"/>
                <w:szCs w:val="20"/>
              </w:rPr>
            </w:pPr>
          </w:p>
        </w:tc>
      </w:tr>
      <w:tr w:rsidR="006371D3" w:rsidRPr="00E969B0" w:rsidTr="006371D3">
        <w:trPr>
          <w:trHeight w:val="621"/>
        </w:trPr>
        <w:tc>
          <w:tcPr>
            <w:tcW w:w="3027" w:type="dxa"/>
            <w:tcBorders>
              <w:left w:val="nil"/>
              <w:bottom w:val="nil"/>
            </w:tcBorders>
          </w:tcPr>
          <w:p w:rsidR="006371D3" w:rsidRPr="00E969B0" w:rsidRDefault="006371D3">
            <w:pPr>
              <w:pStyle w:val="Default"/>
              <w:rPr>
                <w:rFonts w:asciiTheme="minorHAnsi" w:hAnsiTheme="minorHAnsi" w:cstheme="minorHAnsi"/>
                <w:b/>
                <w:bCs/>
                <w:sz w:val="20"/>
                <w:szCs w:val="20"/>
              </w:rPr>
            </w:pPr>
            <w:r w:rsidRPr="00E969B0">
              <w:rPr>
                <w:rFonts w:asciiTheme="minorHAnsi" w:hAnsiTheme="minorHAnsi" w:cstheme="minorHAnsi"/>
                <w:b/>
                <w:bCs/>
                <w:sz w:val="20"/>
                <w:szCs w:val="20"/>
              </w:rPr>
              <w:t xml:space="preserve">Lesson 3 </w:t>
            </w:r>
          </w:p>
          <w:p w:rsidR="006371D3" w:rsidRPr="00E969B0" w:rsidRDefault="00A86C4B">
            <w:pPr>
              <w:pStyle w:val="Default"/>
              <w:rPr>
                <w:rFonts w:asciiTheme="minorHAnsi" w:hAnsiTheme="minorHAnsi" w:cstheme="minorHAnsi"/>
                <w:b/>
                <w:bCs/>
                <w:sz w:val="20"/>
                <w:szCs w:val="20"/>
              </w:rPr>
            </w:pPr>
            <w:r w:rsidRPr="00E969B0">
              <w:rPr>
                <w:rFonts w:asciiTheme="minorHAnsi" w:hAnsiTheme="minorHAnsi" w:cstheme="minorHAnsi"/>
                <w:b/>
                <w:bCs/>
                <w:sz w:val="20"/>
                <w:szCs w:val="20"/>
              </w:rPr>
              <w:t>A Slick Solution</w:t>
            </w:r>
            <w:r w:rsidR="006371D3" w:rsidRPr="00E969B0">
              <w:rPr>
                <w:rFonts w:asciiTheme="minorHAnsi" w:hAnsiTheme="minorHAnsi" w:cstheme="minorHAnsi"/>
                <w:b/>
                <w:bCs/>
                <w:sz w:val="20"/>
                <w:szCs w:val="20"/>
              </w:rPr>
              <w:t xml:space="preserve"> </w:t>
            </w:r>
          </w:p>
        </w:tc>
        <w:tc>
          <w:tcPr>
            <w:tcW w:w="6621" w:type="dxa"/>
            <w:tcBorders>
              <w:bottom w:val="nil"/>
            </w:tcBorders>
          </w:tcPr>
          <w:p w:rsidR="00CA0323" w:rsidRPr="00E969B0" w:rsidRDefault="00A86C4B" w:rsidP="00A86C4B">
            <w:pPr>
              <w:pStyle w:val="Default"/>
              <w:rPr>
                <w:rFonts w:asciiTheme="minorHAnsi" w:hAnsiTheme="minorHAnsi"/>
                <w:sz w:val="20"/>
                <w:szCs w:val="20"/>
              </w:rPr>
            </w:pPr>
            <w:r w:rsidRPr="00E969B0">
              <w:rPr>
                <w:rFonts w:asciiTheme="minorHAnsi" w:hAnsiTheme="minorHAnsi"/>
                <w:sz w:val="20"/>
                <w:szCs w:val="20"/>
              </w:rPr>
              <w:t>Participants will</w:t>
            </w:r>
            <w:r w:rsidR="00CA0323" w:rsidRPr="00E969B0">
              <w:rPr>
                <w:rFonts w:asciiTheme="minorHAnsi" w:hAnsiTheme="minorHAnsi"/>
                <w:sz w:val="20"/>
                <w:szCs w:val="20"/>
              </w:rPr>
              <w:t>:</w:t>
            </w:r>
          </w:p>
          <w:p w:rsidR="0075739F" w:rsidRPr="00E969B0" w:rsidRDefault="00A86C4B" w:rsidP="00CA0323">
            <w:pPr>
              <w:pStyle w:val="Default"/>
              <w:numPr>
                <w:ilvl w:val="0"/>
                <w:numId w:val="2"/>
              </w:numPr>
              <w:rPr>
                <w:rFonts w:asciiTheme="minorHAnsi" w:hAnsiTheme="minorHAnsi"/>
                <w:sz w:val="20"/>
                <w:szCs w:val="20"/>
              </w:rPr>
            </w:pPr>
            <w:r w:rsidRPr="00E969B0">
              <w:rPr>
                <w:rFonts w:asciiTheme="minorHAnsi" w:hAnsiTheme="minorHAnsi"/>
                <w:sz w:val="20"/>
                <w:szCs w:val="20"/>
              </w:rPr>
              <w:t>engage in participant-guided inquiry and discover that the EDP begins with asking questions, connect Lesson 3 with the EDP as a whole</w:t>
            </w:r>
          </w:p>
          <w:p w:rsidR="00CA0323" w:rsidRPr="00E969B0" w:rsidRDefault="00A86C4B" w:rsidP="00CA0323">
            <w:pPr>
              <w:pStyle w:val="Default"/>
              <w:numPr>
                <w:ilvl w:val="0"/>
                <w:numId w:val="2"/>
              </w:numPr>
              <w:rPr>
                <w:rFonts w:asciiTheme="minorHAnsi" w:hAnsiTheme="minorHAnsi"/>
                <w:sz w:val="20"/>
                <w:szCs w:val="20"/>
              </w:rPr>
            </w:pPr>
            <w:r w:rsidRPr="00E969B0">
              <w:rPr>
                <w:rFonts w:asciiTheme="minorHAnsi" w:hAnsiTheme="minorHAnsi"/>
                <w:sz w:val="20"/>
                <w:szCs w:val="20"/>
              </w:rPr>
              <w:t xml:space="preserve"> </w:t>
            </w:r>
            <w:proofErr w:type="gramStart"/>
            <w:r w:rsidRPr="00E969B0">
              <w:rPr>
                <w:rFonts w:asciiTheme="minorHAnsi" w:hAnsiTheme="minorHAnsi"/>
                <w:sz w:val="20"/>
                <w:szCs w:val="20"/>
              </w:rPr>
              <w:t>use</w:t>
            </w:r>
            <w:proofErr w:type="gramEnd"/>
            <w:r w:rsidRPr="00E969B0">
              <w:rPr>
                <w:rFonts w:asciiTheme="minorHAnsi" w:hAnsiTheme="minorHAnsi"/>
                <w:sz w:val="20"/>
                <w:szCs w:val="20"/>
              </w:rPr>
              <w:t xml:space="preserve"> and discuss a model showing how all of the organisms in a river ecosystem are connected to one another, and to the river itself. </w:t>
            </w:r>
          </w:p>
          <w:p w:rsidR="0075739F" w:rsidRPr="00E969B0" w:rsidRDefault="00CA0323" w:rsidP="00CA0323">
            <w:pPr>
              <w:pStyle w:val="Default"/>
              <w:numPr>
                <w:ilvl w:val="0"/>
                <w:numId w:val="2"/>
              </w:numPr>
              <w:rPr>
                <w:rFonts w:asciiTheme="minorHAnsi" w:hAnsiTheme="minorHAnsi"/>
                <w:sz w:val="20"/>
                <w:szCs w:val="20"/>
              </w:rPr>
            </w:pPr>
            <w:proofErr w:type="gramStart"/>
            <w:r w:rsidRPr="00E969B0">
              <w:rPr>
                <w:rFonts w:asciiTheme="minorHAnsi" w:hAnsiTheme="minorHAnsi"/>
                <w:sz w:val="20"/>
                <w:szCs w:val="20"/>
              </w:rPr>
              <w:t>examine</w:t>
            </w:r>
            <w:proofErr w:type="gramEnd"/>
            <w:r w:rsidRPr="00E969B0">
              <w:rPr>
                <w:rFonts w:asciiTheme="minorHAnsi" w:hAnsiTheme="minorHAnsi"/>
                <w:sz w:val="20"/>
                <w:szCs w:val="20"/>
              </w:rPr>
              <w:t xml:space="preserve"> and test the available materials/ tools for their oil spill cleaning process de</w:t>
            </w:r>
            <w:r w:rsidR="0075739F" w:rsidRPr="00E969B0">
              <w:rPr>
                <w:rFonts w:asciiTheme="minorHAnsi" w:hAnsiTheme="minorHAnsi"/>
                <w:sz w:val="20"/>
                <w:szCs w:val="20"/>
              </w:rPr>
              <w:t xml:space="preserve">signs (and relevant handouts). </w:t>
            </w:r>
          </w:p>
          <w:p w:rsidR="006371D3" w:rsidRPr="00E969B0" w:rsidRDefault="00CA0323" w:rsidP="0075739F">
            <w:pPr>
              <w:pStyle w:val="Default"/>
              <w:numPr>
                <w:ilvl w:val="0"/>
                <w:numId w:val="2"/>
              </w:numPr>
              <w:rPr>
                <w:rFonts w:asciiTheme="minorHAnsi" w:hAnsiTheme="minorHAnsi" w:cstheme="minorHAnsi"/>
                <w:sz w:val="20"/>
                <w:szCs w:val="20"/>
              </w:rPr>
            </w:pPr>
            <w:r w:rsidRPr="00E969B0">
              <w:rPr>
                <w:rFonts w:asciiTheme="minorHAnsi" w:hAnsiTheme="minorHAnsi"/>
                <w:sz w:val="20"/>
                <w:szCs w:val="20"/>
              </w:rPr>
              <w:t xml:space="preserve"> discuss testing methodology and ways to scaffold this topic with students</w:t>
            </w:r>
          </w:p>
          <w:p w:rsidR="006371D3" w:rsidRPr="00E969B0" w:rsidRDefault="006371D3">
            <w:pPr>
              <w:pStyle w:val="Default"/>
              <w:rPr>
                <w:rFonts w:asciiTheme="minorHAnsi" w:hAnsiTheme="minorHAnsi" w:cstheme="minorHAnsi"/>
                <w:sz w:val="20"/>
                <w:szCs w:val="20"/>
              </w:rPr>
            </w:pPr>
          </w:p>
        </w:tc>
      </w:tr>
      <w:tr w:rsidR="006371D3" w:rsidRPr="00E969B0" w:rsidTr="006371D3">
        <w:trPr>
          <w:trHeight w:val="621"/>
        </w:trPr>
        <w:tc>
          <w:tcPr>
            <w:tcW w:w="3027" w:type="dxa"/>
            <w:tcBorders>
              <w:left w:val="nil"/>
              <w:bottom w:val="nil"/>
            </w:tcBorders>
          </w:tcPr>
          <w:p w:rsidR="006371D3" w:rsidRPr="00E969B0" w:rsidRDefault="006371D3">
            <w:pPr>
              <w:pStyle w:val="Default"/>
              <w:rPr>
                <w:rFonts w:asciiTheme="minorHAnsi" w:hAnsiTheme="minorHAnsi" w:cstheme="minorHAnsi"/>
                <w:b/>
                <w:bCs/>
                <w:sz w:val="20"/>
                <w:szCs w:val="20"/>
              </w:rPr>
            </w:pPr>
            <w:r w:rsidRPr="00E969B0">
              <w:rPr>
                <w:rFonts w:asciiTheme="minorHAnsi" w:hAnsiTheme="minorHAnsi" w:cstheme="minorHAnsi"/>
                <w:b/>
                <w:bCs/>
                <w:sz w:val="20"/>
                <w:szCs w:val="20"/>
              </w:rPr>
              <w:t xml:space="preserve">Lesson 4 </w:t>
            </w:r>
          </w:p>
          <w:p w:rsidR="006371D3" w:rsidRPr="00E969B0" w:rsidRDefault="00A86C4B">
            <w:pPr>
              <w:pStyle w:val="Default"/>
              <w:rPr>
                <w:rFonts w:asciiTheme="minorHAnsi" w:hAnsiTheme="minorHAnsi" w:cstheme="minorHAnsi"/>
                <w:b/>
                <w:bCs/>
                <w:sz w:val="20"/>
                <w:szCs w:val="20"/>
              </w:rPr>
            </w:pPr>
            <w:r w:rsidRPr="00E969B0">
              <w:rPr>
                <w:rFonts w:asciiTheme="minorHAnsi" w:hAnsiTheme="minorHAnsi"/>
                <w:b/>
                <w:bCs/>
                <w:sz w:val="20"/>
                <w:szCs w:val="20"/>
              </w:rPr>
              <w:t>Cleaning an Oil Spill</w:t>
            </w:r>
          </w:p>
        </w:tc>
        <w:tc>
          <w:tcPr>
            <w:tcW w:w="6621" w:type="dxa"/>
            <w:tcBorders>
              <w:bottom w:val="nil"/>
            </w:tcBorders>
          </w:tcPr>
          <w:p w:rsidR="00CA0323" w:rsidRPr="00E969B0" w:rsidRDefault="00CA0323" w:rsidP="00A86C4B">
            <w:pPr>
              <w:pStyle w:val="Default"/>
              <w:rPr>
                <w:rFonts w:asciiTheme="minorHAnsi" w:hAnsiTheme="minorHAnsi" w:cstheme="minorHAnsi"/>
                <w:sz w:val="20"/>
                <w:szCs w:val="20"/>
              </w:rPr>
            </w:pPr>
            <w:r w:rsidRPr="00E969B0">
              <w:rPr>
                <w:rFonts w:asciiTheme="minorHAnsi" w:hAnsiTheme="minorHAnsi" w:cstheme="minorHAnsi"/>
                <w:sz w:val="20"/>
                <w:szCs w:val="20"/>
              </w:rPr>
              <w:t xml:space="preserve">Participants will: </w:t>
            </w:r>
          </w:p>
          <w:p w:rsidR="00CA0323" w:rsidRPr="00E969B0" w:rsidRDefault="00CA0323" w:rsidP="00CA0323">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use</w:t>
            </w:r>
            <w:proofErr w:type="gramEnd"/>
            <w:r w:rsidRPr="00E969B0">
              <w:rPr>
                <w:rFonts w:asciiTheme="minorHAnsi" w:hAnsiTheme="minorHAnsi" w:cstheme="minorHAnsi"/>
                <w:sz w:val="20"/>
                <w:szCs w:val="20"/>
              </w:rPr>
              <w:t xml:space="preserve"> the data collected and analyzed from Lesson 3 to make connections about the efficacy of materials and tools and their oil spill cleaning process designs. </w:t>
            </w:r>
          </w:p>
          <w:p w:rsidR="00CA0323" w:rsidRPr="00E969B0" w:rsidRDefault="00CA0323" w:rsidP="00CA0323">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use</w:t>
            </w:r>
            <w:proofErr w:type="gramEnd"/>
            <w:r w:rsidRPr="00E969B0">
              <w:rPr>
                <w:rFonts w:asciiTheme="minorHAnsi" w:hAnsiTheme="minorHAnsi" w:cstheme="minorHAnsi"/>
                <w:sz w:val="20"/>
                <w:szCs w:val="20"/>
              </w:rPr>
              <w:t xml:space="preserve"> the Engineering Design Process to design an oil spill cleaning process. </w:t>
            </w:r>
          </w:p>
          <w:p w:rsidR="006371D3" w:rsidRPr="00E969B0" w:rsidRDefault="00CA0323" w:rsidP="00CA0323">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become</w:t>
            </w:r>
            <w:proofErr w:type="gramEnd"/>
            <w:r w:rsidRPr="00E969B0">
              <w:rPr>
                <w:rFonts w:asciiTheme="minorHAnsi" w:hAnsiTheme="minorHAnsi" w:cstheme="minorHAnsi"/>
                <w:sz w:val="20"/>
                <w:szCs w:val="20"/>
              </w:rPr>
              <w:t xml:space="preserve"> familiar with the EDP handouts that students will use at each step of the design process.</w:t>
            </w:r>
          </w:p>
          <w:p w:rsidR="00CA0323" w:rsidRPr="00E969B0" w:rsidRDefault="00CA0323" w:rsidP="00A86C4B">
            <w:pPr>
              <w:pStyle w:val="Default"/>
              <w:rPr>
                <w:rFonts w:asciiTheme="minorHAnsi" w:hAnsiTheme="minorHAnsi" w:cstheme="minorHAnsi"/>
                <w:sz w:val="20"/>
                <w:szCs w:val="20"/>
              </w:rPr>
            </w:pPr>
          </w:p>
        </w:tc>
      </w:tr>
      <w:tr w:rsidR="006371D3" w:rsidRPr="00E969B0" w:rsidTr="006371D3">
        <w:trPr>
          <w:trHeight w:val="621"/>
        </w:trPr>
        <w:tc>
          <w:tcPr>
            <w:tcW w:w="3027" w:type="dxa"/>
            <w:tcBorders>
              <w:left w:val="nil"/>
              <w:bottom w:val="nil"/>
            </w:tcBorders>
          </w:tcPr>
          <w:p w:rsidR="006371D3" w:rsidRPr="00E969B0" w:rsidRDefault="006371D3">
            <w:pPr>
              <w:pStyle w:val="Default"/>
              <w:rPr>
                <w:rFonts w:asciiTheme="minorHAnsi" w:hAnsiTheme="minorHAnsi" w:cstheme="minorHAnsi"/>
                <w:b/>
                <w:bCs/>
                <w:sz w:val="20"/>
                <w:szCs w:val="20"/>
              </w:rPr>
            </w:pPr>
            <w:r w:rsidRPr="00E969B0">
              <w:rPr>
                <w:rFonts w:asciiTheme="minorHAnsi" w:hAnsiTheme="minorHAnsi" w:cstheme="minorHAnsi"/>
                <w:b/>
                <w:bCs/>
                <w:sz w:val="20"/>
                <w:szCs w:val="20"/>
              </w:rPr>
              <w:t xml:space="preserve">Overview of the </w:t>
            </w:r>
            <w:proofErr w:type="spellStart"/>
            <w:r w:rsidRPr="00E969B0">
              <w:rPr>
                <w:rFonts w:asciiTheme="minorHAnsi" w:hAnsiTheme="minorHAnsi" w:cstheme="minorHAnsi"/>
                <w:b/>
                <w:bCs/>
                <w:sz w:val="20"/>
                <w:szCs w:val="20"/>
              </w:rPr>
              <w:t>EiE</w:t>
            </w:r>
            <w:proofErr w:type="spellEnd"/>
            <w:r w:rsidRPr="00E969B0">
              <w:rPr>
                <w:rFonts w:asciiTheme="minorHAnsi" w:hAnsiTheme="minorHAnsi" w:cstheme="minorHAnsi"/>
                <w:b/>
                <w:bCs/>
                <w:sz w:val="20"/>
                <w:szCs w:val="20"/>
              </w:rPr>
              <w:t xml:space="preserve"> Teacher Guide &amp; Educator Resources </w:t>
            </w:r>
          </w:p>
        </w:tc>
        <w:tc>
          <w:tcPr>
            <w:tcW w:w="6621" w:type="dxa"/>
            <w:tcBorders>
              <w:bottom w:val="nil"/>
            </w:tcBorders>
          </w:tcPr>
          <w:p w:rsidR="006371D3" w:rsidRPr="00E969B0" w:rsidRDefault="006371D3">
            <w:pPr>
              <w:pStyle w:val="Default"/>
              <w:rPr>
                <w:rFonts w:asciiTheme="minorHAnsi" w:hAnsiTheme="minorHAnsi" w:cstheme="minorHAnsi"/>
                <w:sz w:val="20"/>
                <w:szCs w:val="20"/>
              </w:rPr>
            </w:pPr>
            <w:r w:rsidRPr="00E969B0">
              <w:rPr>
                <w:rFonts w:asciiTheme="minorHAnsi" w:hAnsiTheme="minorHAnsi" w:cstheme="minorHAnsi"/>
                <w:sz w:val="20"/>
                <w:szCs w:val="20"/>
              </w:rPr>
              <w:t xml:space="preserve">Participants will: </w:t>
            </w:r>
          </w:p>
          <w:p w:rsidR="006371D3" w:rsidRPr="00E969B0" w:rsidRDefault="006371D3" w:rsidP="00CA0323">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learn</w:t>
            </w:r>
            <w:proofErr w:type="gramEnd"/>
            <w:r w:rsidRPr="00E969B0">
              <w:rPr>
                <w:rFonts w:asciiTheme="minorHAnsi" w:hAnsiTheme="minorHAnsi" w:cstheme="minorHAnsi"/>
                <w:sz w:val="20"/>
                <w:szCs w:val="20"/>
              </w:rPr>
              <w:t xml:space="preserve"> how the </w:t>
            </w:r>
            <w:proofErr w:type="spellStart"/>
            <w:r w:rsidRPr="00E969B0">
              <w:rPr>
                <w:rFonts w:asciiTheme="minorHAnsi" w:hAnsiTheme="minorHAnsi" w:cstheme="minorHAnsi"/>
                <w:sz w:val="20"/>
                <w:szCs w:val="20"/>
              </w:rPr>
              <w:t>EiE</w:t>
            </w:r>
            <w:proofErr w:type="spellEnd"/>
            <w:r w:rsidRPr="00E969B0">
              <w:rPr>
                <w:rFonts w:asciiTheme="minorHAnsi" w:hAnsiTheme="minorHAnsi" w:cstheme="minorHAnsi"/>
                <w:sz w:val="20"/>
                <w:szCs w:val="20"/>
              </w:rPr>
              <w:t xml:space="preserve"> Teacher Guides are structured and the location of resources within the guides, such as planning charts, lesson plans, handouts, and assessments. </w:t>
            </w:r>
          </w:p>
          <w:p w:rsidR="006371D3" w:rsidRPr="00E969B0" w:rsidRDefault="006371D3" w:rsidP="00CA0323">
            <w:pPr>
              <w:pStyle w:val="Default"/>
              <w:numPr>
                <w:ilvl w:val="0"/>
                <w:numId w:val="2"/>
              </w:numPr>
              <w:rPr>
                <w:rFonts w:asciiTheme="minorHAnsi" w:hAnsiTheme="minorHAnsi" w:cstheme="minorHAnsi"/>
                <w:sz w:val="20"/>
                <w:szCs w:val="20"/>
              </w:rPr>
            </w:pPr>
            <w:proofErr w:type="gramStart"/>
            <w:r w:rsidRPr="00E969B0">
              <w:rPr>
                <w:rFonts w:asciiTheme="minorHAnsi" w:hAnsiTheme="minorHAnsi" w:cstheme="minorHAnsi"/>
                <w:sz w:val="20"/>
                <w:szCs w:val="20"/>
              </w:rPr>
              <w:t>be</w:t>
            </w:r>
            <w:proofErr w:type="gramEnd"/>
            <w:r w:rsidRPr="00E969B0">
              <w:rPr>
                <w:rFonts w:asciiTheme="minorHAnsi" w:hAnsiTheme="minorHAnsi" w:cstheme="minorHAnsi"/>
                <w:sz w:val="20"/>
                <w:szCs w:val="20"/>
              </w:rPr>
              <w:t xml:space="preserve"> introduced to the resources available through the </w:t>
            </w:r>
            <w:proofErr w:type="spellStart"/>
            <w:r w:rsidRPr="00E969B0">
              <w:rPr>
                <w:rFonts w:asciiTheme="minorHAnsi" w:hAnsiTheme="minorHAnsi" w:cstheme="minorHAnsi"/>
                <w:sz w:val="20"/>
                <w:szCs w:val="20"/>
              </w:rPr>
              <w:t>EiE</w:t>
            </w:r>
            <w:proofErr w:type="spellEnd"/>
            <w:r w:rsidRPr="00E969B0">
              <w:rPr>
                <w:rFonts w:asciiTheme="minorHAnsi" w:hAnsiTheme="minorHAnsi" w:cstheme="minorHAnsi"/>
                <w:sz w:val="20"/>
                <w:szCs w:val="20"/>
              </w:rPr>
              <w:t xml:space="preserve"> Educator Resources website. </w:t>
            </w:r>
          </w:p>
          <w:p w:rsidR="006371D3" w:rsidRPr="00E969B0" w:rsidRDefault="006371D3">
            <w:pPr>
              <w:pStyle w:val="Default"/>
              <w:rPr>
                <w:rFonts w:asciiTheme="minorHAnsi" w:hAnsiTheme="minorHAnsi" w:cstheme="minorHAnsi"/>
                <w:sz w:val="20"/>
                <w:szCs w:val="20"/>
              </w:rPr>
            </w:pPr>
          </w:p>
        </w:tc>
      </w:tr>
    </w:tbl>
    <w:p w:rsidR="003E24D7" w:rsidRDefault="003E24D7"/>
    <w:sectPr w:rsidR="003E24D7" w:rsidSect="00D70CCF">
      <w:pgSz w:w="12240" w:h="15840"/>
      <w:pgMar w:top="720" w:right="720" w:bottom="720" w:left="720" w:header="720" w:footer="720" w:gutter="0"/>
      <w:pgBorders w:offsetFrom="page">
        <w:top w:val="threeDEmboss" w:sz="24" w:space="24" w:color="00B050"/>
        <w:left w:val="threeDEmboss" w:sz="24" w:space="24" w:color="00B050"/>
        <w:bottom w:val="threeDEngrave" w:sz="24" w:space="24" w:color="00B050"/>
        <w:right w:val="threeDEngrave"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4C27"/>
    <w:multiLevelType w:val="hybridMultilevel"/>
    <w:tmpl w:val="5C80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329B"/>
    <w:multiLevelType w:val="hybridMultilevel"/>
    <w:tmpl w:val="2604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B9"/>
    <w:rsid w:val="000961CC"/>
    <w:rsid w:val="000A5BE6"/>
    <w:rsid w:val="002C4526"/>
    <w:rsid w:val="00340DB9"/>
    <w:rsid w:val="003C48CB"/>
    <w:rsid w:val="003E24D7"/>
    <w:rsid w:val="005B2F0A"/>
    <w:rsid w:val="005F41D7"/>
    <w:rsid w:val="006371D3"/>
    <w:rsid w:val="0063726D"/>
    <w:rsid w:val="00721BE6"/>
    <w:rsid w:val="0075739F"/>
    <w:rsid w:val="008120E2"/>
    <w:rsid w:val="00842A7E"/>
    <w:rsid w:val="00873E8E"/>
    <w:rsid w:val="00A86C4B"/>
    <w:rsid w:val="00B97202"/>
    <w:rsid w:val="00C142A1"/>
    <w:rsid w:val="00C43710"/>
    <w:rsid w:val="00CA0323"/>
    <w:rsid w:val="00D5787F"/>
    <w:rsid w:val="00D70CCF"/>
    <w:rsid w:val="00E9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12B61-F9C3-48E1-899A-73B7E56D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D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4526"/>
    <w:pPr>
      <w:ind w:left="720"/>
      <w:contextualSpacing/>
    </w:pPr>
  </w:style>
  <w:style w:type="paragraph" w:styleId="BalloonText">
    <w:name w:val="Balloon Text"/>
    <w:basedOn w:val="Normal"/>
    <w:link w:val="BalloonTextChar"/>
    <w:uiPriority w:val="99"/>
    <w:semiHidden/>
    <w:unhideWhenUsed/>
    <w:rsid w:val="00D7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Robinson</dc:creator>
  <cp:lastModifiedBy>Lorraine Shaffer</cp:lastModifiedBy>
  <cp:revision>13</cp:revision>
  <cp:lastPrinted>2018-02-04T17:04:00Z</cp:lastPrinted>
  <dcterms:created xsi:type="dcterms:W3CDTF">2018-01-31T23:44:00Z</dcterms:created>
  <dcterms:modified xsi:type="dcterms:W3CDTF">2018-02-04T17:12:00Z</dcterms:modified>
</cp:coreProperties>
</file>